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word/_rels/footer1.xml.rels" ContentType="application/vnd.openxmlformats-package.relationship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media/image1.png" ContentType="image/png"/>
  <Override PartName="/word/media/image2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rFonts w:ascii="Arial" w:hAnsi="Arial" w:cs="Arial"/>
          <w:b/>
          <w:b/>
          <w:sz w:val="24"/>
          <w:szCs w:val="24"/>
        </w:rPr>
      </w:pPr>
      <w:r>
        <w:rPr>
          <w:rFonts w:cs="Arial" w:ascii="Arial" w:hAnsi="Arial"/>
          <w:b/>
          <w:sz w:val="24"/>
          <w:szCs w:val="24"/>
        </w:rPr>
        <w:t>ANEXO A</w:t>
      </w:r>
    </w:p>
    <w:p>
      <w:pPr>
        <w:pStyle w:val="Normal"/>
        <w:jc w:val="center"/>
        <w:rPr>
          <w:rFonts w:ascii="Arial" w:hAnsi="Arial" w:cs="Arial"/>
          <w:b/>
          <w:b/>
          <w:sz w:val="24"/>
          <w:szCs w:val="24"/>
        </w:rPr>
      </w:pPr>
      <w:r>
        <w:rPr>
          <w:rFonts w:cs="Arial" w:ascii="Arial" w:hAnsi="Arial"/>
          <w:b/>
          <w:i/>
          <w:sz w:val="24"/>
          <w:szCs w:val="24"/>
        </w:rPr>
        <w:t xml:space="preserve">CHECKLIST </w:t>
      </w:r>
      <w:r>
        <w:rPr>
          <w:rFonts w:cs="Arial" w:ascii="Arial" w:hAnsi="Arial"/>
          <w:b/>
          <w:sz w:val="24"/>
          <w:szCs w:val="24"/>
        </w:rPr>
        <w:t>DE DOCUMENTAÇÃO PARA CREDENCIAMENTO</w:t>
      </w:r>
    </w:p>
    <w:p>
      <w:pPr>
        <w:pStyle w:val="Normal"/>
        <w:ind w:left="-284" w:firstLine="992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Como ferramenta de auxílio para o estágio de análise da documentação, o Manual de Credenciamento disponibiliza uma lista com a mínima documentação exigida para o rito de credenciamento da instituição financeira.</w:t>
      </w:r>
    </w:p>
    <w:p>
      <w:pPr>
        <w:pStyle w:val="Normal"/>
        <w:ind w:left="-284" w:firstLine="992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ind w:left="-284" w:hanging="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INSTITUIÇÃO: BB Gestão de Recursos – Distribuidora de Títulos e Valores mobiliários</w:t>
      </w:r>
    </w:p>
    <w:p>
      <w:pPr>
        <w:pStyle w:val="Normal"/>
        <w:ind w:left="-284" w:hanging="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CNPJ: 30.822.936/0001-69</w:t>
      </w:r>
    </w:p>
    <w:p>
      <w:pPr>
        <w:pStyle w:val="Normal"/>
        <w:ind w:left="-284" w:hanging="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 xml:space="preserve">GESTOR (X) ADMINISTRADOR (X) </w:t>
      </w:r>
    </w:p>
    <w:p>
      <w:pPr>
        <w:pStyle w:val="Normal"/>
        <w:jc w:val="both"/>
        <w:rPr>
          <w:rFonts w:ascii="Arial" w:hAnsi="Arial" w:cs="Arial"/>
          <w:szCs w:val="24"/>
        </w:rPr>
      </w:pPr>
      <w:r>
        <w:rPr>
          <w:rFonts w:cs="Arial" w:ascii="Arial" w:hAnsi="Arial"/>
          <w:szCs w:val="24"/>
        </w:rPr>
      </w:r>
    </w:p>
    <w:tbl>
      <w:tblPr>
        <w:tblW w:w="10260" w:type="dxa"/>
        <w:jc w:val="left"/>
        <w:tblInd w:w="-800" w:type="dxa"/>
        <w:tblCellMar>
          <w:top w:w="0" w:type="dxa"/>
          <w:left w:w="70" w:type="dxa"/>
          <w:bottom w:w="0" w:type="dxa"/>
          <w:right w:w="70" w:type="dxa"/>
        </w:tblCellMar>
        <w:tblLook w:firstRow="1" w:noVBand="1" w:lastRow="0" w:firstColumn="1" w:lastColumn="0" w:noHBand="0" w:val="04a0"/>
      </w:tblPr>
      <w:tblGrid>
        <w:gridCol w:w="360"/>
        <w:gridCol w:w="5522"/>
        <w:gridCol w:w="1564"/>
        <w:gridCol w:w="1446"/>
        <w:gridCol w:w="1368"/>
      </w:tblGrid>
      <w:tr>
        <w:trPr>
          <w:trHeight w:val="263" w:hRule="atLeast"/>
        </w:trPr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D0CECE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55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D0CECE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DOCUMENTO ANALISADO</w:t>
            </w:r>
          </w:p>
        </w:tc>
        <w:tc>
          <w:tcPr>
            <w:tcW w:w="156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D0CECE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RECEBIDO</w:t>
            </w:r>
          </w:p>
        </w:tc>
        <w:tc>
          <w:tcPr>
            <w:tcW w:w="144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D0CECE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DATA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D0CECE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VALIDADE</w:t>
            </w:r>
          </w:p>
        </w:tc>
      </w:tr>
      <w:tr>
        <w:trPr>
          <w:trHeight w:val="263" w:hRule="atLeast"/>
        </w:trPr>
        <w:tc>
          <w:tcPr>
            <w:tcW w:w="3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1</w:t>
            </w:r>
          </w:p>
        </w:tc>
        <w:tc>
          <w:tcPr>
            <w:tcW w:w="55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Termo de Análise e Atestado de Credenciamento ou Questionário Due Diligence – Seção I (se for o caso)</w:t>
            </w:r>
          </w:p>
        </w:tc>
        <w:tc>
          <w:tcPr>
            <w:tcW w:w="156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FF0000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sz w:val="24"/>
                <w:szCs w:val="24"/>
                <w:lang w:eastAsia="pt-BR"/>
              </w:rPr>
              <w:t>Sim</w:t>
            </w:r>
          </w:p>
        </w:tc>
        <w:tc>
          <w:tcPr>
            <w:tcW w:w="144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12/2017</w:t>
            </w:r>
          </w:p>
        </w:tc>
        <w:tc>
          <w:tcPr>
            <w:tcW w:w="136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12/2017</w:t>
            </w:r>
          </w:p>
        </w:tc>
      </w:tr>
      <w:tr>
        <w:trPr>
          <w:trHeight w:val="263" w:hRule="atLeast"/>
        </w:trPr>
        <w:tc>
          <w:tcPr>
            <w:tcW w:w="3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2</w:t>
            </w:r>
          </w:p>
        </w:tc>
        <w:tc>
          <w:tcPr>
            <w:tcW w:w="55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Anexo 1 - Análise de Fundos de Investimento ou Questionário Due Diligence – Seção II (se for o caso)</w:t>
            </w:r>
          </w:p>
        </w:tc>
        <w:tc>
          <w:tcPr>
            <w:tcW w:w="156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Sim</w:t>
            </w:r>
          </w:p>
        </w:tc>
        <w:tc>
          <w:tcPr>
            <w:tcW w:w="144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06/2016</w:t>
            </w:r>
          </w:p>
        </w:tc>
        <w:tc>
          <w:tcPr>
            <w:tcW w:w="136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06/2017</w:t>
            </w:r>
          </w:p>
        </w:tc>
      </w:tr>
      <w:tr>
        <w:trPr>
          <w:trHeight w:val="263" w:hRule="atLeast"/>
        </w:trPr>
        <w:tc>
          <w:tcPr>
            <w:tcW w:w="3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3</w:t>
            </w:r>
          </w:p>
        </w:tc>
        <w:tc>
          <w:tcPr>
            <w:tcW w:w="55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 xml:space="preserve">Autorização BACEN/CVM </w:t>
            </w:r>
          </w:p>
        </w:tc>
        <w:tc>
          <w:tcPr>
            <w:tcW w:w="156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 w:themeColor="text1"/>
                <w:sz w:val="24"/>
                <w:szCs w:val="24"/>
                <w:lang w:eastAsia="pt-BR"/>
              </w:rPr>
              <w:t>Sim</w:t>
            </w:r>
          </w:p>
        </w:tc>
        <w:tc>
          <w:tcPr>
            <w:tcW w:w="144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14/01/2016</w:t>
            </w:r>
          </w:p>
        </w:tc>
        <w:tc>
          <w:tcPr>
            <w:tcW w:w="136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-</w:t>
            </w:r>
          </w:p>
        </w:tc>
      </w:tr>
      <w:tr>
        <w:trPr>
          <w:trHeight w:val="263" w:hRule="atLeast"/>
        </w:trPr>
        <w:tc>
          <w:tcPr>
            <w:tcW w:w="3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4</w:t>
            </w:r>
          </w:p>
        </w:tc>
        <w:tc>
          <w:tcPr>
            <w:tcW w:w="55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 w:themeColor="text1"/>
                <w:sz w:val="24"/>
                <w:szCs w:val="24"/>
                <w:lang w:eastAsia="pt-BR"/>
              </w:rPr>
              <w:t xml:space="preserve">Relatório de Rating (Boa Qualidade de Gestão) </w:t>
            </w:r>
          </w:p>
        </w:tc>
        <w:tc>
          <w:tcPr>
            <w:tcW w:w="156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 w:themeColor="text1"/>
                <w:sz w:val="24"/>
                <w:szCs w:val="24"/>
                <w:lang w:eastAsia="pt-BR"/>
              </w:rPr>
              <w:t>Sim</w:t>
            </w:r>
          </w:p>
        </w:tc>
        <w:tc>
          <w:tcPr>
            <w:tcW w:w="144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 w:themeColor="text1"/>
                <w:sz w:val="24"/>
                <w:szCs w:val="24"/>
                <w:lang w:eastAsia="pt-BR"/>
              </w:rPr>
              <w:t>30/11/2016</w:t>
            </w:r>
          </w:p>
        </w:tc>
        <w:tc>
          <w:tcPr>
            <w:tcW w:w="136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 w:themeColor="text1"/>
                <w:sz w:val="24"/>
                <w:szCs w:val="24"/>
                <w:lang w:eastAsia="pt-BR"/>
              </w:rPr>
              <w:t>-</w:t>
            </w:r>
          </w:p>
        </w:tc>
      </w:tr>
      <w:tr>
        <w:trPr>
          <w:trHeight w:val="263" w:hRule="atLeast"/>
        </w:trPr>
        <w:tc>
          <w:tcPr>
            <w:tcW w:w="3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5</w:t>
            </w:r>
          </w:p>
        </w:tc>
        <w:tc>
          <w:tcPr>
            <w:tcW w:w="55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Certidão Negativa de Débitos Municipais</w:t>
            </w:r>
          </w:p>
        </w:tc>
        <w:tc>
          <w:tcPr>
            <w:tcW w:w="156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Sim</w:t>
            </w:r>
          </w:p>
        </w:tc>
        <w:tc>
          <w:tcPr>
            <w:tcW w:w="144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14/02/2017</w:t>
            </w:r>
          </w:p>
        </w:tc>
        <w:tc>
          <w:tcPr>
            <w:tcW w:w="136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14/05/2017</w:t>
            </w:r>
          </w:p>
        </w:tc>
      </w:tr>
      <w:tr>
        <w:trPr>
          <w:trHeight w:val="263" w:hRule="atLeast"/>
        </w:trPr>
        <w:tc>
          <w:tcPr>
            <w:tcW w:w="3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6</w:t>
            </w:r>
          </w:p>
        </w:tc>
        <w:tc>
          <w:tcPr>
            <w:tcW w:w="55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Certidão Negativa de Débitos Estaduais</w:t>
            </w:r>
          </w:p>
        </w:tc>
        <w:tc>
          <w:tcPr>
            <w:tcW w:w="156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FF0000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sz w:val="24"/>
                <w:szCs w:val="24"/>
                <w:lang w:eastAsia="pt-BR"/>
              </w:rPr>
              <w:t>Sim</w:t>
            </w:r>
          </w:p>
        </w:tc>
        <w:tc>
          <w:tcPr>
            <w:tcW w:w="144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08/11/2016</w:t>
            </w:r>
          </w:p>
        </w:tc>
        <w:tc>
          <w:tcPr>
            <w:tcW w:w="136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03/05/2017</w:t>
            </w:r>
          </w:p>
        </w:tc>
      </w:tr>
      <w:tr>
        <w:trPr>
          <w:trHeight w:val="263" w:hRule="atLeast"/>
        </w:trPr>
        <w:tc>
          <w:tcPr>
            <w:tcW w:w="3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7</w:t>
            </w:r>
          </w:p>
        </w:tc>
        <w:tc>
          <w:tcPr>
            <w:tcW w:w="55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Certidão Negativa de Débitos Federais</w:t>
            </w:r>
          </w:p>
        </w:tc>
        <w:tc>
          <w:tcPr>
            <w:tcW w:w="156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Sim</w:t>
            </w:r>
          </w:p>
        </w:tc>
        <w:tc>
          <w:tcPr>
            <w:tcW w:w="144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22/02/2017</w:t>
            </w:r>
          </w:p>
        </w:tc>
        <w:tc>
          <w:tcPr>
            <w:tcW w:w="136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21/08/2017</w:t>
            </w:r>
          </w:p>
        </w:tc>
      </w:tr>
      <w:tr>
        <w:trPr>
          <w:trHeight w:val="263" w:hRule="atLeast"/>
        </w:trPr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8</w:t>
            </w:r>
          </w:p>
        </w:tc>
        <w:tc>
          <w:tcPr>
            <w:tcW w:w="55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 w:themeColor="text1"/>
                <w:sz w:val="24"/>
                <w:szCs w:val="24"/>
                <w:lang w:eastAsia="pt-BR"/>
              </w:rPr>
              <w:t>Certidão quanto a Contribuições para o FGTS</w:t>
            </w:r>
          </w:p>
        </w:tc>
        <w:tc>
          <w:tcPr>
            <w:tcW w:w="156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FF0000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sz w:val="24"/>
                <w:szCs w:val="24"/>
                <w:lang w:eastAsia="pt-BR"/>
              </w:rPr>
              <w:t>Sim</w:t>
            </w:r>
          </w:p>
        </w:tc>
        <w:tc>
          <w:tcPr>
            <w:tcW w:w="144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 w:themeColor="text1"/>
                <w:sz w:val="24"/>
                <w:szCs w:val="24"/>
                <w:lang w:eastAsia="pt-BR"/>
              </w:rPr>
              <w:t>22/03/2017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 w:themeColor="text1"/>
                <w:sz w:val="24"/>
                <w:szCs w:val="24"/>
                <w:lang w:eastAsia="pt-BR"/>
              </w:rPr>
              <w:t>17/04/2017</w:t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rPr>
          <w:rFonts w:ascii="Arial" w:hAnsi="Arial" w:cs="Arial"/>
          <w:sz w:val="20"/>
        </w:rPr>
      </w:pPr>
      <w:r>
        <w:rPr>
          <w:rFonts w:cs="Arial" w:ascii="Arial" w:hAnsi="Arial"/>
          <w:sz w:val="24"/>
          <w:szCs w:val="24"/>
        </w:rPr>
        <w:t xml:space="preserve">Com base no Manual de Credenciamento, a Instituição é considerada: </w:t>
      </w:r>
    </w:p>
    <w:p>
      <w:pPr>
        <w:pStyle w:val="Normal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 xml:space="preserve">APTA (X) INAPTA (   )  relacionar-se com o RPPS. </w:t>
      </w:r>
    </w:p>
    <w:p>
      <w:pPr>
        <w:pStyle w:val="Normal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jc w:val="right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17 de abril de 2017.</w:t>
      </w:r>
    </w:p>
    <w:p>
      <w:pPr>
        <w:pStyle w:val="Normal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 xml:space="preserve">                                 </w:t>
      </w:r>
    </w:p>
    <w:p>
      <w:pPr>
        <w:pStyle w:val="Normal"/>
        <w:spacing w:before="0" w:after="0"/>
        <w:ind w:left="-426" w:hanging="0"/>
        <w:jc w:val="center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spacing w:before="0" w:after="0"/>
        <w:ind w:left="-426" w:hanging="0"/>
        <w:jc w:val="center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__________________________________</w:t>
      </w:r>
    </w:p>
    <w:p>
      <w:pPr>
        <w:pStyle w:val="Normal"/>
        <w:spacing w:before="0" w:after="0"/>
        <w:ind w:left="-426" w:hanging="0"/>
        <w:jc w:val="center"/>
        <w:rPr/>
      </w:pPr>
      <w:bookmarkStart w:id="0" w:name="__DdeLink__151_4029452324"/>
      <w:r>
        <w:rPr>
          <w:rFonts w:cs="Arial" w:ascii="Arial" w:hAnsi="Arial"/>
          <w:sz w:val="24"/>
          <w:szCs w:val="24"/>
        </w:rPr>
        <w:t>Eriberto Soares Passos</w:t>
      </w:r>
    </w:p>
    <w:p>
      <w:pPr>
        <w:pStyle w:val="Normal"/>
        <w:spacing w:before="0" w:after="0"/>
        <w:ind w:left="-426" w:hanging="0"/>
        <w:jc w:val="center"/>
        <w:rPr/>
      </w:pPr>
      <w:bookmarkStart w:id="1" w:name="__DdeLink__151_4029452324"/>
      <w:r>
        <w:rPr>
          <w:rFonts w:cs="Arial" w:ascii="Arial" w:hAnsi="Arial"/>
          <w:sz w:val="24"/>
          <w:szCs w:val="24"/>
        </w:rPr>
        <w:t>Gestor de Recursos</w:t>
      </w:r>
      <w:bookmarkEnd w:id="1"/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headerReference w:type="default" r:id="rId2"/>
      <w:footerReference w:type="default" r:id="rId3"/>
      <w:type w:val="nextPage"/>
      <w:pgSz w:w="11906" w:h="16838"/>
      <w:pgMar w:left="1701" w:right="1701" w:header="283" w:top="1417" w:footer="283" w:bottom="1417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Arial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Rodap"/>
      <w:rPr/>
    </w:pPr>
    <w:r>
      <w:rPr/>
      <w:drawing>
        <wp:inline distT="0" distB="0" distL="0" distR="0">
          <wp:extent cx="5400040" cy="840105"/>
          <wp:effectExtent l="0" t="0" r="0" b="0"/>
          <wp:docPr id="2" name="Imagem 4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4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8401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abealho"/>
      <w:rPr/>
    </w:pPr>
    <w:r>
      <w:rPr/>
      <w:drawing>
        <wp:anchor behindDoc="0" distT="0" distB="0" distL="114300" distR="114300" simplePos="0" locked="0" layoutInCell="1" allowOverlap="1" relativeHeight="2">
          <wp:simplePos x="0" y="0"/>
          <wp:positionH relativeFrom="margin">
            <wp:posOffset>-424180</wp:posOffset>
          </wp:positionH>
          <wp:positionV relativeFrom="paragraph">
            <wp:posOffset>-68580</wp:posOffset>
          </wp:positionV>
          <wp:extent cx="6247765" cy="972185"/>
          <wp:effectExtent l="0" t="0" r="0" b="0"/>
          <wp:wrapTight wrapText="bothSides">
            <wp:wrapPolygon edited="0">
              <wp:start x="-27" y="0"/>
              <wp:lineTo x="-27" y="21149"/>
              <wp:lineTo x="21530" y="21149"/>
              <wp:lineTo x="21530" y="0"/>
              <wp:lineTo x="-27" y="0"/>
            </wp:wrapPolygon>
          </wp:wrapTight>
          <wp:docPr id="1" name="Imagem 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247765" cy="97218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pt-BR" w:eastAsia="en-US" w:bidi="ar-SA"/>
      </w:rPr>
    </w:rPrDefault>
    <w:pPrDefault>
      <w:pPr/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0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387385"/>
    <w:pPr>
      <w:widowControl/>
      <w:bidi w:val="0"/>
      <w:spacing w:lineRule="auto" w:line="276" w:before="0" w:after="200"/>
      <w:jc w:val="left"/>
    </w:pPr>
    <w:rPr>
      <w:rFonts w:ascii="Calibri" w:hAnsi="Calibri" w:eastAsia="Calibri" w:cs="Times New Roman" w:asciiTheme="minorHAnsi" w:eastAsiaTheme="minorHAnsi" w:hAnsiTheme="minorHAnsi"/>
      <w:color w:val="auto"/>
      <w:kern w:val="0"/>
      <w:sz w:val="22"/>
      <w:szCs w:val="22"/>
      <w:lang w:val="pt-BR" w:eastAsia="en-US" w:bidi="ar-SA"/>
    </w:rPr>
  </w:style>
  <w:style w:type="paragraph" w:styleId="Ttulo3">
    <w:name w:val="Heading 3"/>
    <w:basedOn w:val="Normal"/>
    <w:next w:val="Normal"/>
    <w:link w:val="Ttulo3Char"/>
    <w:qFormat/>
    <w:rsid w:val="00ee5bec"/>
    <w:pPr>
      <w:keepNext w:val="true"/>
      <w:spacing w:lineRule="auto" w:line="240" w:before="0" w:after="0"/>
      <w:jc w:val="both"/>
      <w:outlineLvl w:val="2"/>
    </w:pPr>
    <w:rPr>
      <w:rFonts w:ascii="Times New Roman" w:hAnsi="Times New Roman" w:eastAsia="Times New Roman"/>
      <w:b/>
      <w:bCs/>
      <w:i/>
      <w:iCs/>
      <w:sz w:val="24"/>
      <w:szCs w:val="24"/>
      <w:u w:val="single"/>
      <w:lang w:eastAsia="pt-BR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CabealhoChar" w:customStyle="1">
    <w:name w:val="Cabeçalho Char"/>
    <w:basedOn w:val="DefaultParagraphFont"/>
    <w:link w:val="Cabealho"/>
    <w:uiPriority w:val="99"/>
    <w:qFormat/>
    <w:rsid w:val="00c03f42"/>
    <w:rPr/>
  </w:style>
  <w:style w:type="character" w:styleId="RodapChar" w:customStyle="1">
    <w:name w:val="Rodapé Char"/>
    <w:basedOn w:val="DefaultParagraphFont"/>
    <w:link w:val="Rodap"/>
    <w:uiPriority w:val="99"/>
    <w:qFormat/>
    <w:rsid w:val="00c03f42"/>
    <w:rPr/>
  </w:style>
  <w:style w:type="character" w:styleId="Ttulo3Char" w:customStyle="1">
    <w:name w:val="Título 3 Char"/>
    <w:basedOn w:val="DefaultParagraphFont"/>
    <w:link w:val="Ttulo3"/>
    <w:qFormat/>
    <w:rsid w:val="00ee5bec"/>
    <w:rPr>
      <w:rFonts w:ascii="Times New Roman" w:hAnsi="Times New Roman" w:eastAsia="Times New Roman" w:cs="Times New Roman"/>
      <w:b/>
      <w:bCs/>
      <w:i/>
      <w:iCs/>
      <w:sz w:val="24"/>
      <w:szCs w:val="24"/>
      <w:u w:val="single"/>
      <w:lang w:eastAsia="pt-BR"/>
    </w:rPr>
  </w:style>
  <w:style w:type="character" w:styleId="ListLabel1">
    <w:name w:val="ListLabel 1"/>
    <w:qFormat/>
    <w:rPr>
      <w:color w:val="000066"/>
    </w:rPr>
  </w:style>
  <w:style w:type="character" w:styleId="ListLabel2">
    <w:name w:val="ListLabel 2"/>
    <w:qFormat/>
    <w:rPr>
      <w:rFonts w:cs="Courier New"/>
    </w:rPr>
  </w:style>
  <w:style w:type="character" w:styleId="ListLabel3">
    <w:name w:val="ListLabel 3"/>
    <w:qFormat/>
    <w:rPr>
      <w:rFonts w:cs="Courier New"/>
    </w:rPr>
  </w:style>
  <w:style w:type="character" w:styleId="ListLabel4">
    <w:name w:val="ListLabel 4"/>
    <w:qFormat/>
    <w:rPr>
      <w:rFonts w:cs="Courier New"/>
    </w:rPr>
  </w:style>
  <w:style w:type="character" w:styleId="ListLabel5">
    <w:name w:val="ListLabel 5"/>
    <w:qFormat/>
    <w:rPr>
      <w:rFonts w:cs="Courier New"/>
    </w:rPr>
  </w:style>
  <w:style w:type="character" w:styleId="ListLabel6">
    <w:name w:val="ListLabel 6"/>
    <w:qFormat/>
    <w:rPr>
      <w:rFonts w:cs="Courier New"/>
    </w:rPr>
  </w:style>
  <w:style w:type="character" w:styleId="ListLabel7">
    <w:name w:val="ListLabel 7"/>
    <w:qFormat/>
    <w:rPr>
      <w:rFonts w:cs="Courier New"/>
    </w:rPr>
  </w:style>
  <w:style w:type="character" w:styleId="ListLabel8">
    <w:name w:val="ListLabel 8"/>
    <w:qFormat/>
    <w:rPr>
      <w:rFonts w:cs="Courier New"/>
    </w:rPr>
  </w:style>
  <w:style w:type="character" w:styleId="ListLabel9">
    <w:name w:val="ListLabel 9"/>
    <w:qFormat/>
    <w:rPr>
      <w:rFonts w:cs="Courier New"/>
    </w:rPr>
  </w:style>
  <w:style w:type="character" w:styleId="ListLabel10">
    <w:name w:val="ListLabel 10"/>
    <w:qFormat/>
    <w:rPr>
      <w:rFonts w:cs="Courier New"/>
    </w:rPr>
  </w:style>
  <w:style w:type="character" w:styleId="ListLabel11">
    <w:name w:val="ListLabel 11"/>
    <w:qFormat/>
    <w:rPr>
      <w:rFonts w:cs="Arial"/>
      <w:b w:val="false"/>
      <w:i w:val="false"/>
      <w:sz w:val="22"/>
    </w:rPr>
  </w:style>
  <w:style w:type="character" w:styleId="ListLabel12">
    <w:name w:val="ListLabel 12"/>
    <w:qFormat/>
    <w:rPr>
      <w:rFonts w:cs="Courier New"/>
    </w:rPr>
  </w:style>
  <w:style w:type="character" w:styleId="ListLabel13">
    <w:name w:val="ListLabel 13"/>
    <w:qFormat/>
    <w:rPr>
      <w:rFonts w:cs="Courier New"/>
    </w:rPr>
  </w:style>
  <w:style w:type="character" w:styleId="ListLabel14">
    <w:name w:val="ListLabel 14"/>
    <w:qFormat/>
    <w:rPr>
      <w:rFonts w:cs="Courier New"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odotexto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Corpodotexto"/>
    <w:pPr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Arial"/>
    </w:rPr>
  </w:style>
  <w:style w:type="paragraph" w:styleId="Cabealho">
    <w:name w:val="Header"/>
    <w:basedOn w:val="Normal"/>
    <w:link w:val="CabealhoChar"/>
    <w:uiPriority w:val="99"/>
    <w:unhideWhenUsed/>
    <w:rsid w:val="00c03f42"/>
    <w:pPr>
      <w:tabs>
        <w:tab w:val="clear" w:pos="708"/>
        <w:tab w:val="center" w:pos="4252" w:leader="none"/>
        <w:tab w:val="right" w:pos="8504" w:leader="none"/>
      </w:tabs>
      <w:spacing w:lineRule="auto" w:line="240" w:before="0" w:after="0"/>
    </w:pPr>
    <w:rPr>
      <w:rFonts w:ascii="Calibri" w:hAnsi="Calibri" w:eastAsia="Calibri" w:cs="" w:asciiTheme="minorHAnsi" w:cstheme="minorBidi" w:eastAsiaTheme="minorHAnsi" w:hAnsiTheme="minorHAnsi"/>
    </w:rPr>
  </w:style>
  <w:style w:type="paragraph" w:styleId="Rodap">
    <w:name w:val="Footer"/>
    <w:basedOn w:val="Normal"/>
    <w:link w:val="RodapChar"/>
    <w:uiPriority w:val="99"/>
    <w:unhideWhenUsed/>
    <w:rsid w:val="00c03f42"/>
    <w:pPr>
      <w:tabs>
        <w:tab w:val="clear" w:pos="708"/>
        <w:tab w:val="center" w:pos="4252" w:leader="none"/>
        <w:tab w:val="right" w:pos="8504" w:leader="none"/>
      </w:tabs>
      <w:spacing w:lineRule="auto" w:line="240" w:before="0" w:after="0"/>
    </w:pPr>
    <w:rPr>
      <w:rFonts w:ascii="Calibri" w:hAnsi="Calibri" w:eastAsia="Calibri" w:cs="" w:asciiTheme="minorHAnsi" w:cstheme="minorBidi" w:eastAsiaTheme="minorHAnsi" w:hAnsiTheme="minorHAnsi"/>
    </w:rPr>
  </w:style>
  <w:style w:type="paragraph" w:styleId="ListParagraph">
    <w:name w:val="List Paragraph"/>
    <w:basedOn w:val="Normal"/>
    <w:uiPriority w:val="34"/>
    <w:qFormat/>
    <w:rsid w:val="00ee5bec"/>
    <w:pPr>
      <w:spacing w:lineRule="auto" w:line="240" w:before="0" w:after="0"/>
      <w:ind w:left="720" w:hanging="0"/>
      <w:contextualSpacing/>
    </w:pPr>
    <w:rPr>
      <w:rFonts w:ascii="Times New Roman" w:hAnsi="Times New Roman" w:eastAsia="Times New Roman"/>
      <w:sz w:val="24"/>
      <w:szCs w:val="24"/>
      <w:lang w:eastAsia="pt-BR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_rels/footer1.xml.rels><?xml version="1.0" encoding="UTF-8"?>
<Relationships xmlns="http://schemas.openxmlformats.org/package/2006/relationships"><Relationship Id="rId1" Type="http://schemas.openxmlformats.org/officeDocument/2006/relationships/image" Target="media/image2.png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Application>LibreOffice/6.2.8.2$Windows_X86_64 LibreOffice_project/f82ddfca21ebc1e222a662a32b25c0c9d20169ee</Application>
  <Pages>1</Pages>
  <Words>189</Words>
  <Characters>1092</Characters>
  <CharactersWithSpaces>1270</CharactersWithSpaces>
  <Paragraphs>59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2019-12-06T14:56:00Z</dcterms:created>
  <dc:creator>Camila Pinto Matias</dc:creator>
  <dc:description/>
  <dc:language>pt-BR</dc:language>
  <cp:lastModifiedBy/>
  <cp:lastPrinted>2021-10-27T13:52:46Z</cp:lastPrinted>
  <dcterms:modified xsi:type="dcterms:W3CDTF">2021-10-27T13:58:37Z</dcterms:modified>
  <cp:revision>37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